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ptos" w:hAnsi="Aptos"/>
          <w:b/>
          <w:color w:val="0B5CAD"/>
          <w:sz w:val="18"/>
        </w:rPr>
        <w:t>EMC-TESTİ.COM  |  LVDLAB TEKNİK DOKÜMAN</w:t>
      </w:r>
    </w:p>
    <w:p>
      <w:pPr>
        <w:pStyle w:val="Title"/>
        <w:jc w:val="center"/>
      </w:pPr>
      <w:r>
        <w:t>EMC Risk Analizi Şablonu</w:t>
      </w:r>
    </w:p>
    <w:p>
      <w:pPr>
        <w:jc w:val="center"/>
      </w:pPr>
      <w:r>
        <w:rPr>
          <w:i/>
          <w:color w:val="505E6E"/>
          <w:sz w:val="22"/>
        </w:rPr>
        <w:t>Elektromanyetik tehlike kaynaklarını, kuplaj yollarını, etkileri ve kontrol önlemlerini sistematik değerlendirme şablonu.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  <w:shd w:fill="EAF2FA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Kategori</w:t>
              <w:br/>
              <w:t>Sablonlar</w:t>
            </w:r>
          </w:p>
        </w:tc>
        <w:tc>
          <w:tcPr>
            <w:tcW w:type="dxa" w:w="2520"/>
            <w:shd w:fill="EAF2FA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Konu</w:t>
              <w:br/>
              <w:t>CE ve Mevzuat</w:t>
            </w:r>
          </w:p>
        </w:tc>
        <w:tc>
          <w:tcPr>
            <w:tcW w:type="dxa" w:w="2520"/>
            <w:shd w:fill="EAF2FA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Sürüm</w:t>
              <w:br/>
              <w:t>1.0</w:t>
            </w:r>
          </w:p>
        </w:tc>
        <w:tc>
          <w:tcPr>
            <w:tcW w:type="dxa" w:w="2520"/>
            <w:shd w:fill="EAF2FA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Revizyon</w:t>
              <w:br/>
              <w:t>06.08.2026</w:t>
            </w:r>
          </w:p>
        </w:tc>
      </w:tr>
      <w:tr>
        <w:tc>
          <w:tcPr>
            <w:tcW w:type="dxa" w:w="2520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Dosya</w:t>
              <w:br/>
              <w:t>PDF / DOCX</w:t>
            </w:r>
          </w:p>
        </w:tc>
        <w:tc>
          <w:tcPr>
            <w:tcW w:type="dxa" w:w="2520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Kullanım</w:t>
              <w:br/>
              <w:t>Teknik hazırlık</w:t>
            </w:r>
          </w:p>
        </w:tc>
        <w:tc>
          <w:tcPr>
            <w:tcW w:type="dxa" w:w="2520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Yayıncı</w:t>
              <w:br/>
              <w:t>emc-testi.com</w:t>
            </w:r>
          </w:p>
        </w:tc>
        <w:tc>
          <w:tcPr>
            <w:tcW w:type="dxa" w:w="2520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Durum</w:t>
              <w:br/>
              <w:t>Kontrollü kopya</w:t>
            </w:r>
          </w:p>
        </w:tc>
      </w:tr>
    </w:tbl>
    <w:p/>
    <w:p>
      <w:pPr>
        <w:pStyle w:val="Heading1"/>
      </w:pPr>
      <w:r>
        <w:t>Dokümanın amacı</w:t>
      </w:r>
    </w:p>
    <w:p>
      <w:r>
        <w:t>Elektromanyetik tehlike kaynaklarını, kuplaj yollarını, etkileri ve kontrol önlemlerini sistematik değerlendirme şablonu.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2F7FC"/>
          </w:tcPr>
          <w:p>
            <w:r/>
            <w:r>
              <w:rPr>
                <w:rFonts w:ascii="Aptos" w:hAnsi="Aptos"/>
                <w:b w:val="0"/>
                <w:color w:val="314A62"/>
                <w:sz w:val="18"/>
              </w:rPr>
              <w:t>Önemli: Bu doküman teknik hazırlık ve planlama amacıyla hazırlanmıştır. Uygulanacak standart, deney seviyesi ve güncel baskı proje bazında yetkin laboratuvar tarafından doğrulanmalıdır.</w:t>
            </w:r>
          </w:p>
        </w:tc>
      </w:tr>
    </w:tbl>
    <w:p>
      <w:pPr>
        <w:pStyle w:val="Heading1"/>
      </w:pPr>
      <w:r>
        <w:t>Risk tanımı</w:t>
      </w:r>
    </w:p>
    <w:p>
      <w:pPr>
        <w:pStyle w:val="ListBullet"/>
        <w:spacing w:after="80"/>
      </w:pPr>
      <w:r>
        <w:t>Bozucu olay veya emisyon kaynağı</w:t>
      </w:r>
    </w:p>
    <w:p>
      <w:pPr>
        <w:pStyle w:val="ListBullet"/>
        <w:spacing w:after="80"/>
      </w:pPr>
      <w:r>
        <w:t>Etkilenen fonksiyon ve kullanıcı senaryosu</w:t>
      </w:r>
    </w:p>
    <w:p>
      <w:pPr>
        <w:pStyle w:val="ListBullet"/>
        <w:spacing w:after="80"/>
      </w:pPr>
      <w:r>
        <w:t>Olasılık ve şiddet değerlendirmesi</w:t>
      </w:r>
    </w:p>
    <w:p>
      <w:pPr>
        <w:pStyle w:val="Heading1"/>
      </w:pPr>
      <w:r>
        <w:t>Kontrol önlemleri</w:t>
      </w:r>
    </w:p>
    <w:p>
      <w:pPr>
        <w:pStyle w:val="ListBullet"/>
        <w:spacing w:after="80"/>
      </w:pPr>
      <w:r>
        <w:t>Tasarım önlemleri</w:t>
      </w:r>
    </w:p>
    <w:p>
      <w:pPr>
        <w:pStyle w:val="ListBullet"/>
        <w:spacing w:after="80"/>
      </w:pPr>
      <w:r>
        <w:t>Uygulanan standart/test</w:t>
      </w:r>
    </w:p>
    <w:p>
      <w:pPr>
        <w:pStyle w:val="ListBullet"/>
        <w:spacing w:after="80"/>
      </w:pPr>
      <w:r>
        <w:t>Kalan risk ve doğrulama kanıtı</w:t>
      </w:r>
    </w:p>
    <w:p>
      <w:pPr>
        <w:pStyle w:val="Heading1"/>
      </w:pPr>
      <w:r>
        <w:t>Değişiklik yönetimi</w:t>
      </w:r>
    </w:p>
    <w:p>
      <w:pPr>
        <w:pStyle w:val="ListBullet"/>
        <w:spacing w:after="80"/>
      </w:pPr>
      <w:r>
        <w:t>PCB, güç kaynağı, kablo, muhafaza ve yazılım değişikliklerinin EMC etkisini kaydedin.</w:t>
      </w:r>
    </w:p>
    <w:p>
      <w:pPr>
        <w:pStyle w:val="Heading1"/>
      </w:pPr>
      <w:r>
        <w:t>Proje kayıt alanı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Firma / proje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Ürün / model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Sorumlu kişi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Tarih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Notlar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Onay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</w:tbl>
    <w:p/>
    <w:p>
      <w:pPr>
        <w:jc w:val="center"/>
      </w:pPr>
      <w:r>
        <w:rPr>
          <w:color w:val="5A6978"/>
          <w:sz w:val="18"/>
        </w:rPr>
        <w:t>www.emc-testi.com  •  www.lvdlab.com.tr</w:t>
      </w:r>
    </w:p>
    <w:sectPr w:rsidR="00FC693F" w:rsidRPr="0006063C" w:rsidSect="00034616"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2D3746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 w:val="0"/>
      <w:bCs/>
      <w:color w:val="0B5CAD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 w:val="0"/>
      <w:bCs/>
      <w:color w:val="102A4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 w:val="0"/>
      <w:color w:val="102A43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