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Emisyon Problemleri Kök Neden Analizi Çalışma Formu</w:t>
      </w:r>
    </w:p>
    <w:p>
      <w:pPr>
        <w:jc w:val="center"/>
      </w:pPr>
      <w:r>
        <w:rPr>
          <w:i/>
          <w:color w:val="505E6E"/>
          <w:sz w:val="22"/>
        </w:rPr>
        <w:t>Limit aşımı görülen frekansların kaynak, kuplaj yolu ve düzeltici faaliyet bazında analiz formu.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Sorun Giderme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Sorun Giderme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Limit aşımı görülen frekansların kaynak, kuplaj yolu ve düzeltici faaliyet bazında analiz formu.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Olay kaydı</w:t>
      </w:r>
    </w:p>
    <w:p>
      <w:pPr>
        <w:pStyle w:val="ListBullet"/>
        <w:spacing w:after="80"/>
      </w:pPr>
      <w:r>
        <w:t>Test türü ve limit aşım frekansı</w:t>
      </w:r>
    </w:p>
    <w:p>
      <w:pPr>
        <w:pStyle w:val="ListBullet"/>
        <w:spacing w:after="80"/>
      </w:pPr>
      <w:r>
        <w:t>Marj ve dedektör</w:t>
      </w:r>
    </w:p>
    <w:p>
      <w:pPr>
        <w:pStyle w:val="ListBullet"/>
        <w:spacing w:after="80"/>
      </w:pPr>
      <w:r>
        <w:t>Ürün çalışma modu</w:t>
      </w:r>
    </w:p>
    <w:p>
      <w:pPr>
        <w:pStyle w:val="ListBullet"/>
        <w:spacing w:after="80"/>
      </w:pPr>
      <w:r>
        <w:t>Kablo/muhafaza konfigürasyonu</w:t>
      </w:r>
    </w:p>
    <w:p>
      <w:pPr>
        <w:pStyle w:val="Heading1"/>
      </w:pPr>
      <w:r>
        <w:t>Kaynak analizi</w:t>
      </w:r>
    </w:p>
    <w:p>
      <w:pPr>
        <w:pStyle w:val="ListBullet"/>
        <w:spacing w:after="80"/>
      </w:pPr>
      <w:r>
        <w:t>Saat harmonikleri</w:t>
      </w:r>
    </w:p>
    <w:p>
      <w:pPr>
        <w:pStyle w:val="ListBullet"/>
        <w:spacing w:after="80"/>
      </w:pPr>
      <w:r>
        <w:t>DC/DC dönüştürücü</w:t>
      </w:r>
    </w:p>
    <w:p>
      <w:pPr>
        <w:pStyle w:val="ListBullet"/>
        <w:spacing w:after="80"/>
      </w:pPr>
      <w:r>
        <w:t>Motor sürücüsü</w:t>
      </w:r>
    </w:p>
    <w:p>
      <w:pPr>
        <w:pStyle w:val="ListBullet"/>
        <w:spacing w:after="80"/>
      </w:pPr>
      <w:r>
        <w:t>Kablo ortak mod akımı</w:t>
      </w:r>
    </w:p>
    <w:p>
      <w:pPr>
        <w:pStyle w:val="Heading1"/>
      </w:pPr>
      <w:r>
        <w:t>Düzeltici faaliyet</w:t>
      </w:r>
    </w:p>
    <w:p>
      <w:pPr>
        <w:pStyle w:val="ListBullet"/>
        <w:spacing w:after="80"/>
      </w:pPr>
      <w:r>
        <w:t>Filtre, ferrit, ekranlama, yerleşim veya yazılım değişikliği</w:t>
      </w:r>
    </w:p>
    <w:p>
      <w:pPr>
        <w:pStyle w:val="ListBullet"/>
        <w:spacing w:after="80"/>
      </w:pPr>
      <w:r>
        <w:t>Önce/sonra ölçüm sonucu</w:t>
      </w:r>
    </w:p>
    <w:p>
      <w:pPr>
        <w:pStyle w:val="ListBullet"/>
        <w:spacing w:after="80"/>
      </w:pPr>
      <w:r>
        <w:t>Kalıcı çözüm ve revizyon kaydı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