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ptos" w:hAnsi="Aptos"/>
          <w:b/>
          <w:color w:val="0B5CAD"/>
          <w:sz w:val="18"/>
        </w:rPr>
        <w:t>EMC-TESTİ.COM  |  LVDLAB TEKNİK DOKÜMAN</w:t>
      </w:r>
    </w:p>
    <w:p>
      <w:pPr>
        <w:pStyle w:val="Title"/>
        <w:jc w:val="center"/>
      </w:pPr>
      <w:r>
        <w:t>IEC 61000-4 Serisi Bağışıklık Testleri Özeti</w:t>
      </w:r>
    </w:p>
    <w:p>
      <w:pPr>
        <w:jc w:val="center"/>
      </w:pPr>
      <w:r>
        <w:rPr>
          <w:i/>
          <w:color w:val="505E6E"/>
          <w:sz w:val="22"/>
        </w:rPr>
        <w:t>Temel bağışıklık deney yöntemlerinin amaç, kuplaj ve değerlendirme yaklaşımını özetleyen rehber.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Kategori</w:t>
              <w:br/>
              <w:t>Standart Rehberleri</w:t>
            </w:r>
          </w:p>
        </w:tc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Konu</w:t>
              <w:br/>
              <w:t>Standart Seçimi</w:t>
            </w:r>
          </w:p>
        </w:tc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Sürüm</w:t>
              <w:br/>
              <w:t>1.0</w:t>
            </w:r>
          </w:p>
        </w:tc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Revizyon</w:t>
              <w:br/>
              <w:t>06.08.2026</w:t>
            </w:r>
          </w:p>
        </w:tc>
      </w:tr>
      <w:tr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Dosya</w:t>
              <w:br/>
              <w:t>PDF / DOCX</w:t>
            </w:r>
          </w:p>
        </w:tc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Kullanım</w:t>
              <w:br/>
              <w:t>Teknik hazırlık</w:t>
            </w:r>
          </w:p>
        </w:tc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Yayıncı</w:t>
              <w:br/>
              <w:t>emc-testi.com</w:t>
            </w:r>
          </w:p>
        </w:tc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Durum</w:t>
              <w:br/>
              <w:t>Kontrollü kopya</w:t>
            </w:r>
          </w:p>
        </w:tc>
      </w:tr>
    </w:tbl>
    <w:p/>
    <w:p>
      <w:pPr>
        <w:pStyle w:val="Heading1"/>
      </w:pPr>
      <w:r>
        <w:t>Dokümanın amacı</w:t>
      </w:r>
    </w:p>
    <w:p>
      <w:r>
        <w:t>Temel bağışıklık deney yöntemlerinin amaç, kuplaj ve değerlendirme yaklaşımını özetleyen rehber.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2F7FC"/>
          </w:tcPr>
          <w:p>
            <w:r/>
            <w:r>
              <w:rPr>
                <w:rFonts w:ascii="Aptos" w:hAnsi="Aptos"/>
                <w:b w:val="0"/>
                <w:color w:val="314A62"/>
                <w:sz w:val="18"/>
              </w:rPr>
              <w:t>Önemli: Bu doküman teknik hazırlık ve planlama amacıyla hazırlanmıştır. Uygulanacak standart, deney seviyesi ve güncel baskı proje bazında yetkin laboratuvar tarafından doğrulanmalıdır.</w:t>
            </w:r>
          </w:p>
        </w:tc>
      </w:tr>
    </w:tbl>
    <w:p>
      <w:pPr>
        <w:pStyle w:val="Heading1"/>
      </w:pPr>
      <w:r>
        <w:t>Ana deneyler</w:t>
      </w:r>
    </w:p>
    <w:p>
      <w:pPr>
        <w:pStyle w:val="ListBullet"/>
        <w:spacing w:after="80"/>
      </w:pPr>
      <w:r>
        <w:t>IEC 61000-4-2 ESD</w:t>
      </w:r>
    </w:p>
    <w:p>
      <w:pPr>
        <w:pStyle w:val="ListBullet"/>
        <w:spacing w:after="80"/>
      </w:pPr>
      <w:r>
        <w:t>IEC 61000-4-3 yayılan RF</w:t>
      </w:r>
    </w:p>
    <w:p>
      <w:pPr>
        <w:pStyle w:val="ListBullet"/>
        <w:spacing w:after="80"/>
      </w:pPr>
      <w:r>
        <w:t>IEC 61000-4-4 EFT/Burst</w:t>
      </w:r>
    </w:p>
    <w:p>
      <w:pPr>
        <w:pStyle w:val="ListBullet"/>
        <w:spacing w:after="80"/>
      </w:pPr>
      <w:r>
        <w:t>IEC 61000-4-5 Surge</w:t>
      </w:r>
    </w:p>
    <w:p>
      <w:pPr>
        <w:pStyle w:val="ListBullet"/>
        <w:spacing w:after="80"/>
      </w:pPr>
      <w:r>
        <w:t>IEC 61000-4-6 iletilen RF</w:t>
      </w:r>
    </w:p>
    <w:p>
      <w:pPr>
        <w:pStyle w:val="ListBullet"/>
        <w:spacing w:after="80"/>
      </w:pPr>
      <w:r>
        <w:t>IEC 61000-4-8 manyetik alan</w:t>
      </w:r>
    </w:p>
    <w:p>
      <w:pPr>
        <w:pStyle w:val="ListBullet"/>
        <w:spacing w:after="80"/>
      </w:pPr>
      <w:r>
        <w:t>IEC 61000-4-11 gerilim çukurları/kesintiler</w:t>
      </w:r>
    </w:p>
    <w:p>
      <w:pPr>
        <w:pStyle w:val="Heading1"/>
      </w:pPr>
      <w:r>
        <w:t>Planlama</w:t>
      </w:r>
    </w:p>
    <w:p>
      <w:pPr>
        <w:pStyle w:val="ListBullet"/>
        <w:spacing w:after="80"/>
      </w:pPr>
      <w:r>
        <w:t>Ürün standardındaki seviyeler esas alınır.</w:t>
      </w:r>
    </w:p>
    <w:p>
      <w:pPr>
        <w:pStyle w:val="ListBullet"/>
        <w:spacing w:after="80"/>
      </w:pPr>
      <w:r>
        <w:t>Port kapsamı ve performans kriterleri test planında tanımlanır.</w:t>
      </w:r>
    </w:p>
    <w:p>
      <w:pPr>
        <w:pStyle w:val="Heading1"/>
      </w:pPr>
      <w:r>
        <w:t>Proje kayıt alanı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Firma / proje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Ürün / model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Sorumlu kişi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Tarih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Notlar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Onay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</w:tbl>
    <w:p/>
    <w:p>
      <w:pPr>
        <w:jc w:val="center"/>
      </w:pPr>
      <w:r>
        <w:rPr>
          <w:color w:val="5A6978"/>
          <w:sz w:val="18"/>
        </w:rPr>
        <w:t>www.emc-testi.com  •  www.lvdlab.com.tr</w:t>
      </w:r>
    </w:p>
    <w:sectPr w:rsidR="00FC693F" w:rsidRPr="0006063C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2D3746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 w:val="0"/>
      <w:bCs/>
      <w:color w:val="0B5CA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 w:val="0"/>
      <w:bCs/>
      <w:color w:val="102A4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 w:val="0"/>
      <w:color w:val="102A43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