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Surge Testi Hazırlık Rehberi</w:t>
      </w:r>
    </w:p>
    <w:p>
      <w:pPr>
        <w:jc w:val="center"/>
      </w:pPr>
      <w:r>
        <w:rPr>
          <w:i/>
          <w:color w:val="505E6E"/>
          <w:sz w:val="22"/>
        </w:rPr>
        <w:t>IEC 61000-4-5 temelli yüksek enerjili geçici aşırı gerilim testine hazırlık.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Test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Bağışıklık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IEC 61000-4-5 temelli yüksek enerjili geçici aşırı gerilim testine hazırlık.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Port ve seviye</w:t>
      </w:r>
    </w:p>
    <w:p>
      <w:pPr>
        <w:pStyle w:val="ListBullet"/>
        <w:spacing w:after="80"/>
      </w:pPr>
      <w:r>
        <w:t>Güç ve uzun saha portlarını belirleyin.</w:t>
      </w:r>
    </w:p>
    <w:p>
      <w:pPr>
        <w:pStyle w:val="ListBullet"/>
        <w:spacing w:after="80"/>
      </w:pPr>
      <w:r>
        <w:t>Hat-hat ve hat-toprak uygulamalarını planlayın.</w:t>
      </w:r>
    </w:p>
    <w:p>
      <w:pPr>
        <w:pStyle w:val="ListBullet"/>
        <w:spacing w:after="80"/>
      </w:pPr>
      <w:r>
        <w:t>Kaynak empedansı ve kuplaj ağını ürün standardına göre seçin.</w:t>
      </w:r>
    </w:p>
    <w:p>
      <w:pPr>
        <w:pStyle w:val="Heading1"/>
      </w:pPr>
      <w:r>
        <w:t>Güvenlik</w:t>
      </w:r>
    </w:p>
    <w:p>
      <w:pPr>
        <w:pStyle w:val="ListBullet"/>
        <w:spacing w:after="80"/>
      </w:pPr>
      <w:r>
        <w:t>Koruyucu toprak, sigorta ve acil durdurma düzenini doğrulayın.</w:t>
      </w:r>
    </w:p>
    <w:p>
      <w:pPr>
        <w:pStyle w:val="ListBullet"/>
        <w:spacing w:after="80"/>
      </w:pPr>
      <w:r>
        <w:t>Hasar riski için yedek numune ve kritik parçaları hazırlayın.</w:t>
      </w:r>
    </w:p>
    <w:p>
      <w:pPr>
        <w:pStyle w:val="Heading1"/>
      </w:pPr>
      <w:r>
        <w:t>Tasarım</w:t>
      </w:r>
    </w:p>
    <w:p>
      <w:pPr>
        <w:pStyle w:val="ListBullet"/>
        <w:spacing w:after="80"/>
      </w:pPr>
      <w:r>
        <w:t>MOV/TVS/GDT koordinasyonu</w:t>
      </w:r>
    </w:p>
    <w:p>
      <w:pPr>
        <w:pStyle w:val="ListBullet"/>
        <w:spacing w:after="80"/>
      </w:pPr>
      <w:r>
        <w:t>Creepage/clearance</w:t>
      </w:r>
    </w:p>
    <w:p>
      <w:pPr>
        <w:pStyle w:val="ListBullet"/>
        <w:spacing w:after="80"/>
      </w:pPr>
      <w:r>
        <w:t>Düşük empedanslı boşaltım yolu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